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D2" w:rsidRPr="005B5CD2" w:rsidRDefault="005B5CD2" w:rsidP="005B5CD2">
      <w:pPr>
        <w:spacing w:before="300" w:after="120" w:line="240" w:lineRule="auto"/>
        <w:outlineLvl w:val="0"/>
        <w:rPr>
          <w:rFonts w:ascii="Georgia" w:eastAsia="Times New Roman" w:hAnsi="Georgia" w:cs="Rubik"/>
          <w:b/>
          <w:bCs/>
          <w:color w:val="32465C"/>
          <w:kern w:val="36"/>
          <w:sz w:val="48"/>
          <w:szCs w:val="48"/>
          <w:lang w:eastAsia="it-IT"/>
        </w:rPr>
      </w:pPr>
      <w:bookmarkStart w:id="0" w:name="_GoBack"/>
      <w:bookmarkEnd w:id="0"/>
      <w:r w:rsidRPr="005B5CD2">
        <w:rPr>
          <w:rFonts w:ascii="Georgia" w:eastAsia="Times New Roman" w:hAnsi="Georgia" w:cs="Rubik"/>
          <w:b/>
          <w:bCs/>
          <w:color w:val="32465C"/>
          <w:kern w:val="36"/>
          <w:sz w:val="48"/>
          <w:szCs w:val="48"/>
          <w:lang w:eastAsia="it-IT"/>
        </w:rPr>
        <w:t>CCNL ARAN 14.07.2023</w:t>
      </w:r>
    </w:p>
    <w:p w:rsidR="005B5CD2" w:rsidRPr="005B5CD2" w:rsidRDefault="005B5CD2" w:rsidP="005B5CD2">
      <w:pPr>
        <w:spacing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Ipotesi di Contratto Collettivo Nazionale di Lavoro del personale del comparto Istruzione e ricerca Periodo 2019-2021.</w:t>
      </w:r>
    </w:p>
    <w:p w:rsidR="005B5CD2" w:rsidRPr="005B5CD2" w:rsidRDefault="005B5CD2" w:rsidP="005B5CD2">
      <w:pPr>
        <w:spacing w:after="100" w:afterAutospacing="1" w:line="240" w:lineRule="auto"/>
        <w:jc w:val="center"/>
        <w:rPr>
          <w:rFonts w:ascii="Rubik" w:eastAsia="Times New Roman" w:hAnsi="Rubik" w:cs="Rubik"/>
          <w:b/>
          <w:bCs/>
          <w:color w:val="32465C"/>
          <w:sz w:val="27"/>
          <w:szCs w:val="27"/>
          <w:lang w:eastAsia="it-IT"/>
        </w:rPr>
      </w:pPr>
      <w:r w:rsidRPr="005B5CD2">
        <w:rPr>
          <w:rFonts w:ascii="Rubik" w:eastAsia="Times New Roman" w:hAnsi="Rubik" w:cs="Rubik"/>
          <w:b/>
          <w:bCs/>
          <w:color w:val="32465C"/>
          <w:sz w:val="27"/>
          <w:szCs w:val="27"/>
          <w:lang w:eastAsia="it-IT"/>
        </w:rPr>
        <w:t>Parte comune</w:t>
      </w:r>
    </w:p>
    <w:p w:rsidR="005B5CD2" w:rsidRPr="005B5CD2" w:rsidRDefault="005B5CD2" w:rsidP="005B5CD2">
      <w:pPr>
        <w:spacing w:after="100" w:afterAutospacing="1" w:line="240" w:lineRule="auto"/>
        <w:jc w:val="center"/>
        <w:rPr>
          <w:rFonts w:ascii="Rubik" w:eastAsia="Times New Roman" w:hAnsi="Rubik" w:cs="Rubik"/>
          <w:b/>
          <w:bCs/>
          <w:color w:val="32465C"/>
          <w:sz w:val="27"/>
          <w:szCs w:val="27"/>
          <w:lang w:eastAsia="it-IT"/>
        </w:rPr>
      </w:pPr>
      <w:r w:rsidRPr="005B5CD2">
        <w:rPr>
          <w:rFonts w:ascii="Rubik" w:eastAsia="Times New Roman" w:hAnsi="Rubik" w:cs="Rubik"/>
          <w:b/>
          <w:bCs/>
          <w:color w:val="32465C"/>
          <w:sz w:val="27"/>
          <w:szCs w:val="27"/>
          <w:lang w:eastAsia="it-IT"/>
        </w:rPr>
        <w:t>Titolo V -Responsabilità Disciplinare</w:t>
      </w:r>
    </w:p>
    <w:p w:rsidR="005B5CD2" w:rsidRPr="005B5CD2" w:rsidRDefault="005B5CD2" w:rsidP="005B5CD2">
      <w:pPr>
        <w:shd w:val="clear" w:color="auto" w:fill="F5F5F5"/>
        <w:spacing w:before="375"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b/>
          <w:bCs/>
          <w:color w:val="32465C"/>
          <w:sz w:val="27"/>
          <w:szCs w:val="27"/>
          <w:lang w:eastAsia="it-IT"/>
        </w:rPr>
        <w:t>Art. 25 -</w:t>
      </w:r>
      <w:r w:rsidRPr="005B5CD2">
        <w:rPr>
          <w:rFonts w:ascii="Cambria" w:eastAsia="Times New Roman" w:hAnsi="Cambria" w:cs="Cambria"/>
          <w:b/>
          <w:bCs/>
          <w:color w:val="32465C"/>
          <w:sz w:val="27"/>
          <w:szCs w:val="27"/>
          <w:lang w:eastAsia="it-IT"/>
        </w:rPr>
        <w:t> </w:t>
      </w:r>
      <w:r w:rsidRPr="005B5CD2">
        <w:rPr>
          <w:rFonts w:ascii="Rubik" w:eastAsia="Times New Roman" w:hAnsi="Rubik" w:cs="Rubik"/>
          <w:color w:val="32465C"/>
          <w:sz w:val="27"/>
          <w:szCs w:val="27"/>
          <w:lang w:eastAsia="it-IT"/>
        </w:rPr>
        <w:t>Codice disciplinare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 Nel rispetto del principio di gradualità e proporzionalità delle sanzioni in relazione alla gravità della mancanza, il tipo e l'entità di ciascuna delle sanzioni sono determinati in relazione ai seguenti criteri generali: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a) intenzionalità del comportamento, grado di negligenza, imprudenza o imperizia dimostrate, tenuto conto anche della prevedibilità dell'evento;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rilevanza degli obblighi violati;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c) responsabilità connesse alla posizione di lavoro occupata dal dipendente;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d) grado di danno o di pericolo causato all'amministrazione, agli utenti o a terzi ovvero al disservizio determinatosi;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sussistenza di circostanze aggravanti o attenuanti, con particolare riguardo al comportamento del lavoratore, ai precedenti disciplinari nell'ambito del biennio previsto dalla legge, al comportamento verso gli utenti;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concorso nella violazione di più lavoratori in accordo tra di loro;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g) nel caso di personale delle istituzioni scolastiche educative ed AFAM, coinvolgimento di minori, qualora affidati alla vigilanza del dipendente.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2.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3. La sanzione disciplinare dal minimo del rimprovero verbale o scritto al massimo della multa di importo pari a quattro ore di retribuzione si </w:t>
      </w:r>
      <w:r w:rsidRPr="005B5CD2">
        <w:rPr>
          <w:rFonts w:ascii="Rubik" w:eastAsia="Times New Roman" w:hAnsi="Rubik" w:cs="Rubik"/>
          <w:color w:val="32465C"/>
          <w:sz w:val="27"/>
          <w:szCs w:val="27"/>
          <w:lang w:eastAsia="it-IT"/>
        </w:rPr>
        <w:lastRenderedPageBreak/>
        <w:t>applica, graduando l'entità delle sanzioni in relazione ai criteri di cui al comma 1, per:</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a) inosservanza delle disposizioni di servizio o delle deliberazioni degli organi collegiali, ivi incluse quelle relative al lavoro agile, anche in tema di assenze per malattia, nonché dell'orario di lavoro, ove non ricorrano le fattispecie considerate nell'art. 55-quater,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a)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condotta non conforme a principi di correttezza verso superiori o altri dipendenti o nei confronti degli utenti o terzi;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c) per il personale ATA delle istituzioni scolastiche ed educative e per quello amministrativo e tecnico dell'AFAM, condotte negligenti e non conformi alle responsabilità, ai doveri e alla correttezza inerenti alla funzione;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d) negligenza nell'esecuzione dei compiti assegnati, nella cura dei locali e dei beni mobili o degli strumenti a lui affidati o sui quali, in relazione alle sue responsabilità, debba espletare attività di custodia o vigilanza;</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inosservanza degli obblighi in materia di prevenzione degli infortuni e di sicurezza sul lavoro ove non ne sia derivato danno o pregiudizio al servizio o agli interessi dell'amministrazione o di terzi;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rifiuto di assoggettarsi a visite personali disposte a tutela del patrimonio dell'amministrazione, nel rispetto di quanto previsto dall' art. 6 della legge. n. 300/1970;</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g) insufficiente rendimento nell'assolvimento dei compiti assegnati, ove non ricorrano le fattispecie considerate nell'art. 55-quater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h) violazione dell'obbligo previsto dall'art. 55-novies,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i) violazione di doveri ed obblighi di comportamento non ricompresi specificatamente nelle lettere precedenti.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L'importo delle ritenute per multa sarà introitato dal bilancio dell'amministrazione e destinato ad attività sociali a favore dei dipendenti.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4. La sanzione disciplinare della sospensione dal servizio con privazione della retribuzione fino a un massimo di 10 giorni si applica, graduando l'entità della sanzione in relazione ai criteri di cui al comma 1, per:</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lastRenderedPageBreak/>
        <w:t>a) recidiva nelle mancanze previste al comma 3;</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particolare gravità delle mancanze previste al comma 3;</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c) ove non ricorra la fattispecie prevista dall'articolo 55-quater,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b) del d.lgs. n. 165 del 2001, assenza ingiustificata dal servizio - anche svolto in modalità a distanza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d) ingiustificato mancato trasferimento sin dal primo giorno, da parte del personale ATA delle istituzioni scolastiche ed educative e del personale tecnico e amministrativo dell'AFAM, con esclusione dei supplenti brevi cui si applica la specifica disciplina regolamentare, nella sede assegnata a seguito dell'espletamento di una procedura di mobilità territoriale o professionale;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svolgimento di attività che, durante lo stato di malattia o di infortunio, ritardino il recupero psico-fisico;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manifestazioni ingiuriose nei confronti dell'amministrazione, salvo che siano espressione della libertà di pensiero, ai sensi dell'art. 1 della legge n. 300/1970;</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g) ove non sussista la gravità e la reiterazione delle fattispecie considerate nell'art. 55-quater,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e) del d.lgs. n. 165 del 2001, atti o comportamenti aggressivi, ostili e denigratori che assumano forme di violenza morale nei confronti di un altro dipendente, comportamenti minacciosi, ingiuriosi, calunniosi o diffamatori nei confronti di altri dipendenti o degli utenti o di terzi;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h) violazione degli obblighi di vigilanza da parte del personale delle istituzioni scolastiche educative e dell'AFAM nei confronti degli allievi e degli studenti allo stesso affidati;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i) violazione del segreto di ufficio inerente ad atti o attività non soggetti a pubblicità;</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j) violazione di doveri ed obblighi di comportamento anche non ricompresi specificatamente nelle lettere precedenti da cui sia derivato disservizio ovvero danno all'amministrazione, agli utenti o a terzi.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5. La sospensione dal servizio con privazione della retribuzione fino ad un massimo di quindici giorni si applica nel caso previsto dall'art. 55-bis, comma 7,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lastRenderedPageBreak/>
        <w:t>6. La sospensione dal servizio con privazione della retribuzione fino ad un massimo di tre mesi, si applica nei casi previsti dall'art. 55-sexies, comma 3,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7. La sospensione dal servizio con privazione della retribuzione da un minimo di tre giorni fino ad un massimo di tre mesi si applica nel caso previsto dall'art. 55-sexies, comma 1,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8. La sanzione disciplinare della sospensione dal servizio con privazione della retribuzione da 11 giorni fino ad un massimo di 6 mesi, si applica, graduando l'entità della sanzione in relazione ai criteri di cui al comma 1, per:</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a) recidiva nel biennio delle mancanze previste nel comma 4;</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occultamento, da parte del responsabile della custodia, del controllo o della vigilanza, di fatti e circostanze relativi ad illecito uso, manomissione, distrazione o sottrazione di somme o beni di pertinenza dell'ente o ad esso affidati;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c) atti, comportamenti lesivi della dignità della persona o molestie a carattere sessuale, anche ove non sussista la gravità e la reiterazione oppure che non riguardino allievi e studenti;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d) alterchi con vie di fatto negli ambienti di lavoro, anche con gli utenti;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fino a due assenze ingiustificate dal servizio in continuità con le giornate festive e di riposo settimanale;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ingiustificate assenze collettive nei periodi, individuati dall'amministrazione, in cui è necessario assicurare la continuità nell'erogazione di servizi all'utenza;</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g) violazione degli obblighi di vigilanza nei confronti di allievi e studenti minorenni determinata dall'assenza dal servizio o dall'arbitrario abbandono dello stesso;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h) per il personale ATA delle istituzioni scolastiche ed educative e del personale tecnico e amministrativo dell'AFAM, compimento di atti in violazione dei propri doveri che pregiudichino il regolare funzionamento dell'istituzione e per concorso negli stessi atti.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9. Ferma la disciplina in tema di licenziamento per giusta causa o giustificato motivo, la sanzione disciplinare del licenziamento si applica:</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 con preavviso per:</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lastRenderedPageBreak/>
        <w:t xml:space="preserve">a) le ipotesi considerate dall'art. 55-quater,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xml:space="preserve">. b) c) e da </w:t>
      </w:r>
      <w:proofErr w:type="gramStart"/>
      <w:r w:rsidRPr="005B5CD2">
        <w:rPr>
          <w:rFonts w:ascii="Rubik" w:eastAsia="Times New Roman" w:hAnsi="Rubik" w:cs="Rubik"/>
          <w:color w:val="32465C"/>
          <w:sz w:val="27"/>
          <w:szCs w:val="27"/>
          <w:lang w:eastAsia="it-IT"/>
        </w:rPr>
        <w:t>f)-</w:t>
      </w:r>
      <w:proofErr w:type="gramEnd"/>
      <w:r w:rsidRPr="005B5CD2">
        <w:rPr>
          <w:rFonts w:ascii="Rubik" w:eastAsia="Times New Roman" w:hAnsi="Rubik" w:cs="Rubik"/>
          <w:color w:val="32465C"/>
          <w:sz w:val="27"/>
          <w:szCs w:val="27"/>
          <w:lang w:eastAsia="it-IT"/>
        </w:rPr>
        <w:t xml:space="preserve">bis a f) </w:t>
      </w:r>
      <w:proofErr w:type="spellStart"/>
      <w:r w:rsidRPr="005B5CD2">
        <w:rPr>
          <w:rFonts w:ascii="Rubik" w:eastAsia="Times New Roman" w:hAnsi="Rubik" w:cs="Rubik"/>
          <w:color w:val="32465C"/>
          <w:sz w:val="27"/>
          <w:szCs w:val="27"/>
          <w:lang w:eastAsia="it-IT"/>
        </w:rPr>
        <w:t>quinquies</w:t>
      </w:r>
      <w:proofErr w:type="spellEnd"/>
      <w:r w:rsidRPr="005B5CD2">
        <w:rPr>
          <w:rFonts w:ascii="Rubik" w:eastAsia="Times New Roman" w:hAnsi="Rubik" w:cs="Rubik"/>
          <w:color w:val="32465C"/>
          <w:sz w:val="27"/>
          <w:szCs w:val="27"/>
          <w:lang w:eastAsia="it-IT"/>
        </w:rPr>
        <w:t xml:space="preserve">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recidiva nelle violazioni indicate nei commi 5, 6, 7 e 8;</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c) recidiva nel biennio di atti, anche nei riguardi di persona diversa, comportamenti o molestie a carattere sessuale oppure quando l'atto, il comportamento o la molestia rivestano carattere di particolare gravità o anche quando sono compiuti nei confronti di allievi, studenti e studentesse affidati alla vigilanza del personale delle istituzioni scolastiche ed educative e dell'AFAM;</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d) dichiarazioni false e mendaci, rese dal personale delle istituzioni scolastiche, educative e AFAM, al fine di ottenere un vantaggio nell'ambito delle procedure di mobilità;</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condanna passata in giudicato, per un delitto che, commesso fuori del servizio e non attinente in via diretta al rapporto di lavoro, non ne consenta la prosecuzione per la sua specifica gravità;</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violazione degli obblighi di comportamento di cui all'art 16, comma 2, secondo e terzo periodo del D.P.R. n. 62/2013;</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g) violazioni dei doveri e degli obblighi di comportamento non ricompresi specificatamente nelle lettere precedenti di gravità tale, secondo i criteri di cui al comma 1, da non consentire la prosecuzione del rapporto di lavoro;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h) mancata ripresa del servizio, salvo casi di comprovato impedimento, dopo periodi di interruzione dell'attività previsti dalle disposizioni legislative e contrattuali vigenti, alla conclusione del periodo di sospensione o alla scadenza del termine fissato dall'amministrazione.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2. senza preavviso per:</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a) le ipotesi considerate nell'art. 55-quater,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a), d), e) ed f)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b) commissione di gravi fatti illeciti di rilevanza penale, ivi compresi quelli che possono dare luogo alla sospensione cautelare, secondo la disciplina dell'art. 26 (Sospensione cautelare in corso di procedimento penale), fatto salvo quanto previsto dall'art. 27 (Sospensione cautelare in caso di procedimento penale);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c) condanna passata in giudicato per un delitto commesso in servizio o fuori servizio che, pur non attenendo in via diretta al rapporto di lavoro, non ne consenta neanche provvisoriamente la prosecuzione per la sua specifica gravità;</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lastRenderedPageBreak/>
        <w:t>d) commissione in genere -anche nei confronti di terzi -di fatti o atti dolosi, che, pur non costituendo illeciti di rilevanza penale, sono di gravità tale da non consentire la prosecuzione neppure provvisoria del rapporto di lavoro;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e) condanna, anche non passata in giudicato: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 xml:space="preserve">-per i delitti già indicati nell'art. 7, comma 1, e nell'art. 8, comma 1, </w:t>
      </w:r>
      <w:proofErr w:type="spellStart"/>
      <w:r w:rsidRPr="005B5CD2">
        <w:rPr>
          <w:rFonts w:ascii="Rubik" w:eastAsia="Times New Roman" w:hAnsi="Rubik" w:cs="Rubik"/>
          <w:color w:val="32465C"/>
          <w:sz w:val="27"/>
          <w:szCs w:val="27"/>
          <w:lang w:eastAsia="it-IT"/>
        </w:rPr>
        <w:t>lett</w:t>
      </w:r>
      <w:proofErr w:type="spellEnd"/>
      <w:r w:rsidRPr="005B5CD2">
        <w:rPr>
          <w:rFonts w:ascii="Rubik" w:eastAsia="Times New Roman" w:hAnsi="Rubik" w:cs="Rubik"/>
          <w:color w:val="32465C"/>
          <w:sz w:val="27"/>
          <w:szCs w:val="27"/>
          <w:lang w:eastAsia="it-IT"/>
        </w:rPr>
        <w:t>. a del d.lgs. n. 235 del 2012;</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-quando alla condanna consegua comunque l'interdizione perpetua dai pubblici uffici;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-per i delitti previsti dall'art. 3, comma 1 della legge 27 marzo 2001 n. 97;</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-per gravi delitti commessi in servizio;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f) violazioni intenzionali degli obblighi, non ricomprese specificatamente nelle lettere precedenti, anche nei confronti di terzi, di gravità tale, in relazione ai criteri di cui al comma 1, da non consentire la prosecuzione neppure provvisoria del rapporto di lavoro.</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10. Le mancanze anche se non espressamente previste nei commi precedenti sono comunque sanzionate secondo i criteri di cui al comma 1, facendosi riferimento, quanto all'individuazione dei fatti sanzionabili, agli obblighi dei lavoratori di cui all'art. 23 (Obblighi del dipendente) e riferendosi, quanto al tipo e alla misura delle sanzioni, ai principi desumibili dai commi precedenti.</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11. Al codice disciplinare, di cui al presente articolo, deve essere data la massima pubblicità mediante pubblicazione sul sito istituzionale dell'amministrazione secondo le previsioni dell'art. 55, comma 2, ultimo periodo, del d.lgs. n. 165 del 2001.</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12. 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p>
    <w:p w:rsidR="005B5CD2" w:rsidRPr="005B5CD2" w:rsidRDefault="005B5CD2" w:rsidP="005B5CD2">
      <w:pPr>
        <w:spacing w:after="100" w:afterAutospacing="1" w:line="240" w:lineRule="auto"/>
        <w:rPr>
          <w:rFonts w:ascii="Rubik" w:eastAsia="Times New Roman" w:hAnsi="Rubik" w:cs="Rubik"/>
          <w:color w:val="32465C"/>
          <w:sz w:val="27"/>
          <w:szCs w:val="27"/>
          <w:lang w:eastAsia="it-IT"/>
        </w:rPr>
      </w:pPr>
      <w:r w:rsidRPr="005B5CD2">
        <w:rPr>
          <w:rFonts w:ascii="Rubik" w:eastAsia="Times New Roman" w:hAnsi="Rubik" w:cs="Rubik"/>
          <w:color w:val="32465C"/>
          <w:sz w:val="27"/>
          <w:szCs w:val="27"/>
          <w:lang w:eastAsia="it-IT"/>
        </w:rPr>
        <w:t>13. Il presente articolo dalla data della sua applicazione abroga l'art. 13 del CCNL 19/04/2018.</w:t>
      </w:r>
    </w:p>
    <w:p w:rsidR="00301061" w:rsidRDefault="00301061"/>
    <w:sectPr w:rsidR="00301061" w:rsidSect="005B5CD2">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w:panose1 w:val="02000604000000020004"/>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D2"/>
    <w:rsid w:val="00301061"/>
    <w:rsid w:val="005B5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A2A66-47DE-4F41-8F79-BB91CAB1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5B5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CD2"/>
    <w:rPr>
      <w:rFonts w:ascii="Times New Roman" w:eastAsia="Times New Roman" w:hAnsi="Times New Roman" w:cs="Times New Roman"/>
      <w:b/>
      <w:bCs/>
      <w:kern w:val="36"/>
      <w:sz w:val="48"/>
      <w:szCs w:val="48"/>
      <w:lang w:eastAsia="it-IT"/>
    </w:rPr>
  </w:style>
  <w:style w:type="paragraph" w:customStyle="1" w:styleId="strutture">
    <w:name w:val="strutture"/>
    <w:basedOn w:val="Normale"/>
    <w:rsid w:val="005B5C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rutture1">
    <w:name w:val="strutture1"/>
    <w:basedOn w:val="Carpredefinitoparagrafo"/>
    <w:rsid w:val="005B5CD2"/>
  </w:style>
  <w:style w:type="paragraph" w:customStyle="1" w:styleId="articolo">
    <w:name w:val="articolo"/>
    <w:basedOn w:val="Normale"/>
    <w:rsid w:val="005B5C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umart">
    <w:name w:val="num_art"/>
    <w:basedOn w:val="Carpredefinitoparagrafo"/>
    <w:rsid w:val="005B5CD2"/>
  </w:style>
  <w:style w:type="paragraph" w:styleId="NormaleWeb">
    <w:name w:val="Normal (Web)"/>
    <w:basedOn w:val="Normale"/>
    <w:uiPriority w:val="99"/>
    <w:semiHidden/>
    <w:unhideWhenUsed/>
    <w:rsid w:val="005B5CD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372055">
      <w:bodyDiv w:val="1"/>
      <w:marLeft w:val="0"/>
      <w:marRight w:val="0"/>
      <w:marTop w:val="0"/>
      <w:marBottom w:val="0"/>
      <w:divBdr>
        <w:top w:val="none" w:sz="0" w:space="0" w:color="auto"/>
        <w:left w:val="none" w:sz="0" w:space="0" w:color="auto"/>
        <w:bottom w:val="none" w:sz="0" w:space="0" w:color="auto"/>
        <w:right w:val="none" w:sz="0" w:space="0" w:color="auto"/>
      </w:divBdr>
      <w:divsChild>
        <w:div w:id="785588626">
          <w:marLeft w:val="0"/>
          <w:marRight w:val="0"/>
          <w:marTop w:val="0"/>
          <w:marBottom w:val="450"/>
          <w:divBdr>
            <w:top w:val="none" w:sz="0" w:space="0" w:color="auto"/>
            <w:left w:val="none" w:sz="0" w:space="0" w:color="auto"/>
            <w:bottom w:val="none" w:sz="0" w:space="0" w:color="auto"/>
            <w:right w:val="none" w:sz="0" w:space="0" w:color="auto"/>
          </w:divBdr>
          <w:divsChild>
            <w:div w:id="1297219715">
              <w:marLeft w:val="0"/>
              <w:marRight w:val="0"/>
              <w:marTop w:val="0"/>
              <w:marBottom w:val="0"/>
              <w:divBdr>
                <w:top w:val="none" w:sz="0" w:space="0" w:color="auto"/>
                <w:left w:val="none" w:sz="0" w:space="0" w:color="auto"/>
                <w:bottom w:val="none" w:sz="0" w:space="0" w:color="auto"/>
                <w:right w:val="none" w:sz="0" w:space="0" w:color="auto"/>
              </w:divBdr>
            </w:div>
          </w:divsChild>
        </w:div>
        <w:div w:id="1613172622">
          <w:marLeft w:val="0"/>
          <w:marRight w:val="0"/>
          <w:marTop w:val="0"/>
          <w:marBottom w:val="0"/>
          <w:divBdr>
            <w:top w:val="none" w:sz="0" w:space="0" w:color="auto"/>
            <w:left w:val="none" w:sz="0" w:space="0" w:color="auto"/>
            <w:bottom w:val="none" w:sz="0" w:space="0" w:color="auto"/>
            <w:right w:val="none" w:sz="0" w:space="0" w:color="auto"/>
          </w:divBdr>
          <w:divsChild>
            <w:div w:id="1623731649">
              <w:marLeft w:val="0"/>
              <w:marRight w:val="0"/>
              <w:marTop w:val="0"/>
              <w:marBottom w:val="0"/>
              <w:divBdr>
                <w:top w:val="none" w:sz="0" w:space="0" w:color="auto"/>
                <w:left w:val="none" w:sz="0" w:space="0" w:color="auto"/>
                <w:bottom w:val="none" w:sz="0" w:space="0" w:color="auto"/>
                <w:right w:val="none" w:sz="0" w:space="0" w:color="auto"/>
              </w:divBdr>
              <w:divsChild>
                <w:div w:id="1928346291">
                  <w:marLeft w:val="0"/>
                  <w:marRight w:val="0"/>
                  <w:marTop w:val="0"/>
                  <w:marBottom w:val="0"/>
                  <w:divBdr>
                    <w:top w:val="none" w:sz="0" w:space="0" w:color="auto"/>
                    <w:left w:val="none" w:sz="0" w:space="0" w:color="auto"/>
                    <w:bottom w:val="none" w:sz="0" w:space="0" w:color="auto"/>
                    <w:right w:val="none" w:sz="0" w:space="0" w:color="auto"/>
                  </w:divBdr>
                </w:div>
                <w:div w:id="2105494167">
                  <w:marLeft w:val="0"/>
                  <w:marRight w:val="0"/>
                  <w:marTop w:val="0"/>
                  <w:marBottom w:val="0"/>
                  <w:divBdr>
                    <w:top w:val="none" w:sz="0" w:space="0" w:color="auto"/>
                    <w:left w:val="none" w:sz="0" w:space="0" w:color="auto"/>
                    <w:bottom w:val="none" w:sz="0" w:space="0" w:color="auto"/>
                    <w:right w:val="none" w:sz="0" w:space="0" w:color="auto"/>
                  </w:divBdr>
                </w:div>
                <w:div w:id="461967680">
                  <w:marLeft w:val="0"/>
                  <w:marRight w:val="0"/>
                  <w:marTop w:val="0"/>
                  <w:marBottom w:val="0"/>
                  <w:divBdr>
                    <w:top w:val="none" w:sz="0" w:space="0" w:color="auto"/>
                    <w:left w:val="none" w:sz="0" w:space="0" w:color="auto"/>
                    <w:bottom w:val="none" w:sz="0" w:space="0" w:color="auto"/>
                    <w:right w:val="none" w:sz="0" w:space="0" w:color="auto"/>
                  </w:divBdr>
                </w:div>
                <w:div w:id="1520313413">
                  <w:marLeft w:val="0"/>
                  <w:marRight w:val="0"/>
                  <w:marTop w:val="0"/>
                  <w:marBottom w:val="0"/>
                  <w:divBdr>
                    <w:top w:val="none" w:sz="0" w:space="0" w:color="auto"/>
                    <w:left w:val="none" w:sz="0" w:space="0" w:color="auto"/>
                    <w:bottom w:val="none" w:sz="0" w:space="0" w:color="auto"/>
                    <w:right w:val="none" w:sz="0" w:space="0" w:color="auto"/>
                  </w:divBdr>
                </w:div>
                <w:div w:id="70276687">
                  <w:marLeft w:val="0"/>
                  <w:marRight w:val="0"/>
                  <w:marTop w:val="0"/>
                  <w:marBottom w:val="0"/>
                  <w:divBdr>
                    <w:top w:val="none" w:sz="0" w:space="0" w:color="auto"/>
                    <w:left w:val="none" w:sz="0" w:space="0" w:color="auto"/>
                    <w:bottom w:val="none" w:sz="0" w:space="0" w:color="auto"/>
                    <w:right w:val="none" w:sz="0" w:space="0" w:color="auto"/>
                  </w:divBdr>
                </w:div>
                <w:div w:id="654916337">
                  <w:marLeft w:val="0"/>
                  <w:marRight w:val="0"/>
                  <w:marTop w:val="0"/>
                  <w:marBottom w:val="0"/>
                  <w:divBdr>
                    <w:top w:val="none" w:sz="0" w:space="0" w:color="auto"/>
                    <w:left w:val="none" w:sz="0" w:space="0" w:color="auto"/>
                    <w:bottom w:val="none" w:sz="0" w:space="0" w:color="auto"/>
                    <w:right w:val="none" w:sz="0" w:space="0" w:color="auto"/>
                  </w:divBdr>
                </w:div>
                <w:div w:id="1454714795">
                  <w:marLeft w:val="0"/>
                  <w:marRight w:val="0"/>
                  <w:marTop w:val="0"/>
                  <w:marBottom w:val="0"/>
                  <w:divBdr>
                    <w:top w:val="none" w:sz="0" w:space="0" w:color="auto"/>
                    <w:left w:val="none" w:sz="0" w:space="0" w:color="auto"/>
                    <w:bottom w:val="none" w:sz="0" w:space="0" w:color="auto"/>
                    <w:right w:val="none" w:sz="0" w:space="0" w:color="auto"/>
                  </w:divBdr>
                </w:div>
                <w:div w:id="1494876493">
                  <w:marLeft w:val="0"/>
                  <w:marRight w:val="0"/>
                  <w:marTop w:val="0"/>
                  <w:marBottom w:val="0"/>
                  <w:divBdr>
                    <w:top w:val="none" w:sz="0" w:space="0" w:color="auto"/>
                    <w:left w:val="none" w:sz="0" w:space="0" w:color="auto"/>
                    <w:bottom w:val="none" w:sz="0" w:space="0" w:color="auto"/>
                    <w:right w:val="none" w:sz="0" w:space="0" w:color="auto"/>
                  </w:divBdr>
                </w:div>
                <w:div w:id="1574659997">
                  <w:marLeft w:val="0"/>
                  <w:marRight w:val="0"/>
                  <w:marTop w:val="0"/>
                  <w:marBottom w:val="0"/>
                  <w:divBdr>
                    <w:top w:val="none" w:sz="0" w:space="0" w:color="auto"/>
                    <w:left w:val="none" w:sz="0" w:space="0" w:color="auto"/>
                    <w:bottom w:val="none" w:sz="0" w:space="0" w:color="auto"/>
                    <w:right w:val="none" w:sz="0" w:space="0" w:color="auto"/>
                  </w:divBdr>
                </w:div>
                <w:div w:id="125436979">
                  <w:marLeft w:val="0"/>
                  <w:marRight w:val="0"/>
                  <w:marTop w:val="0"/>
                  <w:marBottom w:val="0"/>
                  <w:divBdr>
                    <w:top w:val="none" w:sz="0" w:space="0" w:color="auto"/>
                    <w:left w:val="none" w:sz="0" w:space="0" w:color="auto"/>
                    <w:bottom w:val="none" w:sz="0" w:space="0" w:color="auto"/>
                    <w:right w:val="none" w:sz="0" w:space="0" w:color="auto"/>
                  </w:divBdr>
                </w:div>
                <w:div w:id="405297814">
                  <w:marLeft w:val="0"/>
                  <w:marRight w:val="0"/>
                  <w:marTop w:val="0"/>
                  <w:marBottom w:val="0"/>
                  <w:divBdr>
                    <w:top w:val="none" w:sz="0" w:space="0" w:color="auto"/>
                    <w:left w:val="none" w:sz="0" w:space="0" w:color="auto"/>
                    <w:bottom w:val="none" w:sz="0" w:space="0" w:color="auto"/>
                    <w:right w:val="none" w:sz="0" w:space="0" w:color="auto"/>
                  </w:divBdr>
                </w:div>
                <w:div w:id="1566989192">
                  <w:marLeft w:val="0"/>
                  <w:marRight w:val="0"/>
                  <w:marTop w:val="0"/>
                  <w:marBottom w:val="0"/>
                  <w:divBdr>
                    <w:top w:val="none" w:sz="0" w:space="0" w:color="auto"/>
                    <w:left w:val="none" w:sz="0" w:space="0" w:color="auto"/>
                    <w:bottom w:val="none" w:sz="0" w:space="0" w:color="auto"/>
                    <w:right w:val="none" w:sz="0" w:space="0" w:color="auto"/>
                  </w:divBdr>
                </w:div>
                <w:div w:id="3243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Esposito</dc:creator>
  <cp:keywords/>
  <dc:description/>
  <cp:lastModifiedBy>Clara Esposito</cp:lastModifiedBy>
  <cp:revision>1</cp:revision>
  <dcterms:created xsi:type="dcterms:W3CDTF">2024-01-30T09:34:00Z</dcterms:created>
  <dcterms:modified xsi:type="dcterms:W3CDTF">2024-01-30T09:35:00Z</dcterms:modified>
</cp:coreProperties>
</file>